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0AC87" w14:textId="229A8A2D" w:rsidR="009E36E2" w:rsidRPr="009F79FB" w:rsidRDefault="009F79FB" w:rsidP="009F79FB">
      <w:pPr>
        <w:spacing w:after="240" w:line="240" w:lineRule="auto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t xml:space="preserve">HEALTHCARE-RELATED </w:t>
      </w:r>
      <w:r w:rsidR="009E36E2" w:rsidRPr="00662535">
        <w:rPr>
          <w:rFonts w:ascii="Calibri" w:hAnsi="Calibri" w:cs="Calibri"/>
          <w:b/>
        </w:rPr>
        <w:t>ACTIVE SHOOTER RESOURCES</w:t>
      </w:r>
    </w:p>
    <w:p w14:paraId="402DF55F" w14:textId="511F25DE" w:rsidR="009E36E2" w:rsidRPr="00BC0680" w:rsidRDefault="009F79FB" w:rsidP="00BC0680">
      <w:pPr>
        <w:spacing w:after="120" w:line="240" w:lineRule="auto"/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t>From t</w:t>
      </w:r>
      <w:r w:rsidR="00662535" w:rsidRPr="00662535">
        <w:rPr>
          <w:rFonts w:ascii="Calibri" w:hAnsi="Calibri" w:cs="Calibri"/>
          <w:color w:val="444444"/>
          <w:shd w:val="clear" w:color="auto" w:fill="FFFFFF"/>
        </w:rPr>
        <w:t xml:space="preserve">he CHA Hospital Preparedness Program </w:t>
      </w:r>
      <w:r>
        <w:rPr>
          <w:rFonts w:ascii="Calibri" w:hAnsi="Calibri" w:cs="Calibri"/>
          <w:color w:val="444444"/>
          <w:shd w:val="clear" w:color="auto" w:fill="FFFFFF"/>
        </w:rPr>
        <w:t>(</w:t>
      </w:r>
      <w:r w:rsidR="00662535" w:rsidRPr="00662535">
        <w:rPr>
          <w:rFonts w:ascii="Calibri" w:hAnsi="Calibri" w:cs="Calibri"/>
          <w:color w:val="444444"/>
          <w:shd w:val="clear" w:color="auto" w:fill="FFFFFF"/>
        </w:rPr>
        <w:t>established with funding provided by the federal hospital preparedness grant program</w:t>
      </w:r>
      <w:r>
        <w:rPr>
          <w:rFonts w:ascii="Calibri" w:hAnsi="Calibri" w:cs="Calibri"/>
          <w:color w:val="444444"/>
          <w:shd w:val="clear" w:color="auto" w:fill="FFFFFF"/>
        </w:rPr>
        <w:t xml:space="preserve">): </w:t>
      </w:r>
      <w:hyperlink r:id="rId5" w:history="1">
        <w:r w:rsidR="00BC0680" w:rsidRPr="001F30E1">
          <w:rPr>
            <w:rStyle w:val="Hyperlink"/>
            <w:rFonts w:ascii="Calibri" w:hAnsi="Calibri" w:cs="Calibri"/>
          </w:rPr>
          <w:t>https://www.calhospitalprepare.org/active-shooter</w:t>
        </w:r>
      </w:hyperlink>
    </w:p>
    <w:p w14:paraId="709F7610" w14:textId="77777777" w:rsidR="00662535" w:rsidRPr="00662535" w:rsidRDefault="008B1F09" w:rsidP="00BC0680">
      <w:pPr>
        <w:spacing w:after="240" w:line="240" w:lineRule="auto"/>
        <w:ind w:left="1440"/>
        <w:rPr>
          <w:rFonts w:ascii="Calibri" w:hAnsi="Calibri" w:cs="Calibri"/>
        </w:rPr>
      </w:pPr>
      <w:hyperlink r:id="rId6" w:history="1">
        <w:r w:rsidR="00662535" w:rsidRPr="00662535">
          <w:rPr>
            <w:rStyle w:val="Hyperlink"/>
            <w:rFonts w:ascii="Calibri" w:hAnsi="Calibri" w:cs="Calibri"/>
          </w:rPr>
          <w:t>https://www.calhospitalprepare.org/post/active-shooter-event-response-interactive-tabletop-exercise</w:t>
        </w:r>
      </w:hyperlink>
    </w:p>
    <w:p w14:paraId="18A10113" w14:textId="2FCF0551" w:rsidR="001A2B00" w:rsidRDefault="001D67AF" w:rsidP="009F79FB">
      <w:pPr>
        <w:spacing w:after="240" w:line="240" w:lineRule="auto"/>
        <w:rPr>
          <w:rFonts w:ascii="Calibri" w:hAnsi="Calibri" w:cs="Calibri"/>
        </w:rPr>
      </w:pPr>
      <w:r w:rsidRPr="00662535">
        <w:rPr>
          <w:rFonts w:ascii="Calibri" w:hAnsi="Calibri" w:cs="Calibri"/>
        </w:rPr>
        <w:t>FEMA IS-907 Active Shooter: What Can You Do? (45-minute online course</w:t>
      </w:r>
      <w:r w:rsidR="009F79FB">
        <w:rPr>
          <w:rFonts w:ascii="Calibri" w:hAnsi="Calibri" w:cs="Calibri"/>
        </w:rPr>
        <w:t xml:space="preserve">) </w:t>
      </w:r>
      <w:hyperlink r:id="rId7" w:history="1">
        <w:r w:rsidR="009F79FB" w:rsidRPr="001F30E1">
          <w:rPr>
            <w:rStyle w:val="Hyperlink"/>
            <w:rFonts w:ascii="Calibri" w:hAnsi="Calibri" w:cs="Calibri"/>
          </w:rPr>
          <w:t>https://training.fema.gov/is/courseoverview.aspx?code=is-907</w:t>
        </w:r>
      </w:hyperlink>
    </w:p>
    <w:p w14:paraId="5D6B583D" w14:textId="7D9D5A60" w:rsidR="001E7EDC" w:rsidRPr="00662535" w:rsidRDefault="008B1F09" w:rsidP="009F79FB">
      <w:pPr>
        <w:spacing w:after="240" w:line="240" w:lineRule="auto"/>
        <w:rPr>
          <w:rFonts w:ascii="Calibri" w:hAnsi="Calibri" w:cs="Calibri"/>
        </w:rPr>
      </w:pPr>
      <w:hyperlink r:id="rId8" w:history="1">
        <w:r w:rsidR="00507D5A" w:rsidRPr="00662535">
          <w:rPr>
            <w:rStyle w:val="Hyperlink"/>
            <w:rFonts w:ascii="Calibri" w:hAnsi="Calibri" w:cs="Calibri"/>
          </w:rPr>
          <w:t>http://</w:t>
        </w:r>
      </w:hyperlink>
      <w:hyperlink r:id="rId9" w:history="1">
        <w:r w:rsidR="00507D5A" w:rsidRPr="00662535">
          <w:rPr>
            <w:rStyle w:val="Hyperlink"/>
            <w:rFonts w:ascii="Calibri" w:hAnsi="Calibri" w:cs="Calibri"/>
          </w:rPr>
          <w:t>www.fha.org/health-care-issues/emergency-preparedness/workplace-violence-toolkit/active-shooter.aspx</w:t>
        </w:r>
      </w:hyperlink>
    </w:p>
    <w:p w14:paraId="37C08A68" w14:textId="2688CF7D" w:rsidR="00191AC8" w:rsidRDefault="008B1F09" w:rsidP="009F79FB">
      <w:pPr>
        <w:spacing w:after="240" w:line="240" w:lineRule="auto"/>
        <w:rPr>
          <w:rStyle w:val="Hyperlink"/>
          <w:rFonts w:ascii="Calibri" w:hAnsi="Calibri" w:cs="Calibri"/>
        </w:rPr>
      </w:pPr>
      <w:hyperlink w:history="1">
        <w:r w:rsidR="001A2B00" w:rsidRPr="00360FB2">
          <w:rPr>
            <w:rStyle w:val="Hyperlink"/>
            <w:rFonts w:ascii="Calibri" w:hAnsi="Calibri" w:cs="Calibri"/>
          </w:rPr>
          <w:t>https://</w:t>
        </w:r>
      </w:hyperlink>
      <w:hyperlink r:id="rId10" w:history="1">
        <w:r w:rsidR="00507D5A" w:rsidRPr="00662535">
          <w:rPr>
            <w:rStyle w:val="Hyperlink"/>
            <w:rFonts w:ascii="Calibri" w:hAnsi="Calibri" w:cs="Calibri"/>
          </w:rPr>
          <w:t>www.urmc.rochester.edu/emergency-preparedness/Preparedness-and-Response-Tools-Resources/Active-Shooter.aspx</w:t>
        </w:r>
      </w:hyperlink>
    </w:p>
    <w:p w14:paraId="29DC9098" w14:textId="7A7D8FD6" w:rsidR="001A2B00" w:rsidRDefault="00197E2F" w:rsidP="009F79FB">
      <w:pPr>
        <w:spacing w:after="240" w:line="240" w:lineRule="auto"/>
        <w:rPr>
          <w:rFonts w:ascii="Calibri" w:hAnsi="Calibri" w:cs="Calibri"/>
          <w:shd w:val="clear" w:color="auto" w:fill="FFFFFF"/>
        </w:rPr>
      </w:pPr>
      <w:r w:rsidRPr="009F79FB">
        <w:rPr>
          <w:rFonts w:ascii="Calibri" w:hAnsi="Calibri" w:cs="Calibri"/>
          <w:noProof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7F12D53C" wp14:editId="421C7134">
            <wp:simplePos x="0" y="0"/>
            <wp:positionH relativeFrom="column">
              <wp:posOffset>1590754</wp:posOffset>
            </wp:positionH>
            <wp:positionV relativeFrom="paragraph">
              <wp:posOffset>761797</wp:posOffset>
            </wp:positionV>
            <wp:extent cx="3884295" cy="3032822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295" cy="303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9FB" w:rsidRPr="001A2B00">
        <w:rPr>
          <w:rFonts w:ascii="Calibri" w:hAnsi="Calibri" w:cs="Calibri"/>
          <w:shd w:val="clear" w:color="auto" w:fill="FFFFFF"/>
        </w:rPr>
        <w:t xml:space="preserve"> </w:t>
      </w:r>
      <w:r w:rsidR="001A2B00" w:rsidRPr="001A2B00">
        <w:rPr>
          <w:rFonts w:ascii="Calibri" w:hAnsi="Calibri" w:cs="Calibri"/>
          <w:shd w:val="clear" w:color="auto" w:fill="FFFFFF"/>
        </w:rPr>
        <w:t>“The Metropolitan Healthcare Security Director Association has produced a unique two module training program…to prepare their</w:t>
      </w:r>
      <w:r w:rsidR="009F79FB">
        <w:rPr>
          <w:rFonts w:ascii="Calibri" w:hAnsi="Calibri" w:cs="Calibri"/>
          <w:shd w:val="clear" w:color="auto" w:fill="FFFFFF"/>
        </w:rPr>
        <w:t>…</w:t>
      </w:r>
      <w:r w:rsidR="001A2B00" w:rsidRPr="001A2B00">
        <w:rPr>
          <w:rFonts w:ascii="Calibri" w:hAnsi="Calibri" w:cs="Calibri"/>
          <w:shd w:val="clear" w:color="auto" w:fill="FFFFFF"/>
        </w:rPr>
        <w:t xml:space="preserve"> staff to respond appropriately and effectively before, during, and after an active shooter incident. The videos, which feature several renowned experts and individuals with first-hand hospital shooting experience, promote a unified training concept that is compelling and richly educational.” Membership Required.</w:t>
      </w:r>
    </w:p>
    <w:p w14:paraId="14CF7091" w14:textId="07A25AAF" w:rsidR="009F79FB" w:rsidRDefault="009F79FB" w:rsidP="009F79FB">
      <w:pPr>
        <w:spacing w:after="240" w:line="240" w:lineRule="auto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Reference Card:</w:t>
      </w:r>
    </w:p>
    <w:p w14:paraId="42822010" w14:textId="2CDEA865" w:rsidR="009F79FB" w:rsidRDefault="009F79FB" w:rsidP="009F79FB">
      <w:pPr>
        <w:spacing w:after="0" w:line="240" w:lineRule="auto"/>
        <w:rPr>
          <w:rFonts w:ascii="Calibri" w:hAnsi="Calibri" w:cs="Calibri"/>
          <w:shd w:val="clear" w:color="auto" w:fill="FFFFFF"/>
        </w:rPr>
      </w:pPr>
    </w:p>
    <w:p w14:paraId="5E9E0B81" w14:textId="48310EAD" w:rsidR="009F79FB" w:rsidRDefault="009F79FB" w:rsidP="009F79FB">
      <w:pPr>
        <w:spacing w:after="0" w:line="240" w:lineRule="auto"/>
        <w:rPr>
          <w:rFonts w:ascii="Calibri" w:hAnsi="Calibri" w:cs="Calibri"/>
          <w:shd w:val="clear" w:color="auto" w:fill="FFFFFF"/>
        </w:rPr>
      </w:pPr>
    </w:p>
    <w:p w14:paraId="480BB99C" w14:textId="4921639A" w:rsidR="009F79FB" w:rsidRPr="001A2B00" w:rsidRDefault="009F79FB" w:rsidP="009F79FB">
      <w:pPr>
        <w:spacing w:after="240" w:line="240" w:lineRule="auto"/>
        <w:rPr>
          <w:rFonts w:ascii="Calibri" w:hAnsi="Calibri" w:cs="Calibri"/>
          <w:shd w:val="clear" w:color="auto" w:fill="FFFFFF"/>
        </w:rPr>
      </w:pPr>
    </w:p>
    <w:p w14:paraId="412E576C" w14:textId="33EF4C8B" w:rsidR="001A2B00" w:rsidRPr="00662535" w:rsidRDefault="001A2B00" w:rsidP="009F79FB">
      <w:pPr>
        <w:spacing w:after="240" w:line="240" w:lineRule="auto"/>
        <w:rPr>
          <w:rFonts w:ascii="Calibri" w:hAnsi="Calibri" w:cs="Calibri"/>
        </w:rPr>
      </w:pPr>
    </w:p>
    <w:p w14:paraId="7848C0CC" w14:textId="5F0ED71A" w:rsidR="001E7EDC" w:rsidRPr="00662535" w:rsidRDefault="001E7EDC" w:rsidP="009F79FB">
      <w:pPr>
        <w:spacing w:after="240" w:line="240" w:lineRule="auto"/>
        <w:rPr>
          <w:rFonts w:ascii="Calibri" w:hAnsi="Calibri" w:cs="Calibri"/>
        </w:rPr>
      </w:pPr>
    </w:p>
    <w:p w14:paraId="14B1F248" w14:textId="795A9E34" w:rsidR="00AE0EB1" w:rsidRPr="00662535" w:rsidRDefault="00AE0EB1" w:rsidP="009F79FB">
      <w:pPr>
        <w:spacing w:after="240" w:line="240" w:lineRule="auto"/>
        <w:rPr>
          <w:rFonts w:ascii="Calibri" w:hAnsi="Calibri" w:cs="Calibri"/>
        </w:rPr>
      </w:pPr>
    </w:p>
    <w:p w14:paraId="39A9FF6D" w14:textId="23C44A53" w:rsidR="001D67AF" w:rsidRPr="00662535" w:rsidRDefault="001D67AF" w:rsidP="009F79FB">
      <w:pPr>
        <w:spacing w:after="240" w:line="240" w:lineRule="auto"/>
        <w:rPr>
          <w:rFonts w:ascii="Calibri" w:hAnsi="Calibri" w:cs="Calibri"/>
        </w:rPr>
      </w:pPr>
    </w:p>
    <w:p w14:paraId="287FF79B" w14:textId="24741D3D" w:rsidR="00436CAB" w:rsidRPr="00662535" w:rsidRDefault="009F79FB" w:rsidP="009F79FB">
      <w:pPr>
        <w:spacing w:after="240" w:line="240" w:lineRule="auto"/>
        <w:rPr>
          <w:rFonts w:ascii="Calibri" w:hAnsi="Calibri" w:cs="Calibri"/>
        </w:rPr>
      </w:pPr>
      <w:r w:rsidRPr="009F79FB">
        <w:rPr>
          <w:rFonts w:ascii="Calibri" w:hAnsi="Calibri" w:cs="Calibri"/>
          <w:noProof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445A667F" wp14:editId="05A862E2">
            <wp:simplePos x="0" y="0"/>
            <wp:positionH relativeFrom="column">
              <wp:posOffset>1590675</wp:posOffset>
            </wp:positionH>
            <wp:positionV relativeFrom="paragraph">
              <wp:posOffset>831952</wp:posOffset>
            </wp:positionV>
            <wp:extent cx="3884371" cy="3021787"/>
            <wp:effectExtent l="0" t="0" r="190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371" cy="302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6CAB" w:rsidRPr="00662535" w:rsidSect="00197E2F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1790D"/>
    <w:multiLevelType w:val="hybridMultilevel"/>
    <w:tmpl w:val="5FCA5E4E"/>
    <w:lvl w:ilvl="0" w:tplc="3B4EB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05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4C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E63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2C7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A20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D43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A3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8B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00441BD"/>
    <w:multiLevelType w:val="hybridMultilevel"/>
    <w:tmpl w:val="871C9BE6"/>
    <w:lvl w:ilvl="0" w:tplc="541E7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962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68B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900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22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9E0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02B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F06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64D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E2"/>
    <w:rsid w:val="00131594"/>
    <w:rsid w:val="00191AC8"/>
    <w:rsid w:val="00197E2F"/>
    <w:rsid w:val="001A2B00"/>
    <w:rsid w:val="001D67AF"/>
    <w:rsid w:val="001E7EDC"/>
    <w:rsid w:val="002C67DC"/>
    <w:rsid w:val="00383DA6"/>
    <w:rsid w:val="00386DC9"/>
    <w:rsid w:val="00436CAB"/>
    <w:rsid w:val="00507D5A"/>
    <w:rsid w:val="00522E51"/>
    <w:rsid w:val="00662535"/>
    <w:rsid w:val="006861B4"/>
    <w:rsid w:val="0079383F"/>
    <w:rsid w:val="007B1834"/>
    <w:rsid w:val="0089459C"/>
    <w:rsid w:val="008B1F09"/>
    <w:rsid w:val="009E36E2"/>
    <w:rsid w:val="009F79FB"/>
    <w:rsid w:val="00AE0EB1"/>
    <w:rsid w:val="00BC0680"/>
    <w:rsid w:val="00D22AFF"/>
    <w:rsid w:val="00ED184A"/>
    <w:rsid w:val="00F1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C3AA7"/>
  <w15:chartTrackingRefBased/>
  <w15:docId w15:val="{9A5210FE-F3EF-4ED6-B65A-A7A7E8CB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6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1B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61B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D67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9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3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3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a.org/health-care-issues/emergency-preparedness/workplace-violence-toolkit/active-shooter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ining.fema.gov/is/courseoverview.aspx?code=is-907" TargetMode="Externa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lhospitalprepare.org/post/active-shooter-event-response-interactive-tabletop-exercise" TargetMode="External"/><Relationship Id="rId11" Type="http://schemas.openxmlformats.org/officeDocument/2006/relationships/image" Target="media/image1.emf"/><Relationship Id="rId5" Type="http://schemas.openxmlformats.org/officeDocument/2006/relationships/hyperlink" Target="https://www.calhospitalprepare.org/active-shooter" TargetMode="External"/><Relationship Id="rId10" Type="http://schemas.openxmlformats.org/officeDocument/2006/relationships/hyperlink" Target="https://www.urmc.rochester.edu/emergency-preparedness/Preparedness-and-Response-Tools-Resources/Active-Shooter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ha.org/health-care-issues/emergency-preparedness/workplace-violence-toolkit/active-shooter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Nancy</dc:creator>
  <cp:keywords/>
  <dc:description/>
  <cp:lastModifiedBy>Pearce, James</cp:lastModifiedBy>
  <cp:revision>2</cp:revision>
  <cp:lastPrinted>2018-03-28T14:56:00Z</cp:lastPrinted>
  <dcterms:created xsi:type="dcterms:W3CDTF">2019-07-05T20:13:00Z</dcterms:created>
  <dcterms:modified xsi:type="dcterms:W3CDTF">2019-07-05T20:13:00Z</dcterms:modified>
</cp:coreProperties>
</file>